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0E54BC" w14:textId="77777777" w:rsidR="005C0983" w:rsidRDefault="005C0983" w:rsidP="005C0983">
      <w:pPr>
        <w:rPr>
          <w:rFonts w:cstheme="minorHAnsi"/>
          <w:sz w:val="20"/>
          <w:szCs w:val="20"/>
        </w:rPr>
      </w:pPr>
      <w:r w:rsidRPr="003A0D8F">
        <w:rPr>
          <w:rFonts w:cstheme="minorHAnsi"/>
          <w:sz w:val="20"/>
          <w:szCs w:val="20"/>
        </w:rPr>
        <w:t>7242 Valjean Ave, Van Nuys, CA 91406   Phone: (818) 579-7385</w:t>
      </w:r>
    </w:p>
    <w:p w14:paraId="51D57AB3" w14:textId="77777777" w:rsidR="005C0983" w:rsidRDefault="005C0983" w:rsidP="005C0983">
      <w:pPr>
        <w:rPr>
          <w:rFonts w:cstheme="minorHAnsi"/>
          <w:sz w:val="20"/>
          <w:szCs w:val="20"/>
        </w:rPr>
      </w:pPr>
    </w:p>
    <w:p w14:paraId="05D10D08" w14:textId="77777777" w:rsidR="005C0983" w:rsidRPr="00BD1C7E" w:rsidRDefault="005C0983" w:rsidP="005C0983">
      <w:pPr>
        <w:rPr>
          <w:b/>
          <w:bCs/>
          <w:sz w:val="26"/>
          <w:szCs w:val="26"/>
        </w:rPr>
      </w:pPr>
      <w:r w:rsidRPr="00291A4A">
        <w:rPr>
          <w:rFonts w:cstheme="minorHAnsi"/>
          <w:b/>
          <w:bCs/>
          <w:sz w:val="26"/>
          <w:szCs w:val="26"/>
        </w:rPr>
        <w:t>Anti-Money</w:t>
      </w:r>
      <w:r w:rsidRPr="00291A4A">
        <w:rPr>
          <w:rFonts w:ascii="Calibri" w:eastAsia="Calibri" w:hAnsi="Calibri" w:cs="Calibri"/>
          <w:b/>
          <w:bCs/>
          <w:color w:val="000000" w:themeColor="text1"/>
          <w:sz w:val="26"/>
          <w:szCs w:val="26"/>
        </w:rPr>
        <w:t xml:space="preserve"> Laundering</w:t>
      </w:r>
      <w:r w:rsidRPr="00291A4A">
        <w:rPr>
          <w:rFonts w:cstheme="minorHAnsi"/>
          <w:b/>
          <w:bCs/>
          <w:sz w:val="26"/>
          <w:szCs w:val="26"/>
        </w:rPr>
        <w:t xml:space="preserve"> </w:t>
      </w:r>
      <w:r>
        <w:rPr>
          <w:rFonts w:cstheme="minorHAnsi"/>
          <w:b/>
          <w:bCs/>
          <w:sz w:val="26"/>
          <w:szCs w:val="26"/>
        </w:rPr>
        <w:t>(</w:t>
      </w:r>
      <w:r w:rsidRPr="00291A4A">
        <w:rPr>
          <w:rFonts w:ascii="Calibri" w:eastAsia="Calibri" w:hAnsi="Calibri" w:cs="Calibri"/>
          <w:b/>
          <w:bCs/>
          <w:color w:val="000000" w:themeColor="text1"/>
          <w:sz w:val="24"/>
          <w:szCs w:val="24"/>
        </w:rPr>
        <w:t>AML</w:t>
      </w:r>
      <w:r w:rsidRPr="00291A4A">
        <w:rPr>
          <w:rFonts w:cstheme="minorHAnsi"/>
          <w:b/>
          <w:bCs/>
          <w:sz w:val="26"/>
          <w:szCs w:val="26"/>
        </w:rPr>
        <w:t xml:space="preserve">) / Policy &amp; Procedures                                                                 </w:t>
      </w:r>
      <w:r>
        <w:rPr>
          <w:rFonts w:cstheme="minorHAnsi"/>
          <w:b/>
          <w:bCs/>
          <w:sz w:val="26"/>
          <w:szCs w:val="26"/>
        </w:rPr>
        <w:br/>
      </w:r>
      <w:r w:rsidRPr="00291A4A">
        <w:t xml:space="preserve">Updated: </w:t>
      </w:r>
      <w:r>
        <w:t>Feb</w:t>
      </w:r>
      <w:r w:rsidRPr="00291A4A">
        <w:t xml:space="preserve"> 202</w:t>
      </w:r>
      <w:r>
        <w:t>4</w:t>
      </w:r>
      <w:r>
        <w:rPr>
          <w:b/>
          <w:bCs/>
          <w:sz w:val="26"/>
          <w:szCs w:val="26"/>
        </w:rPr>
        <w:br/>
      </w:r>
    </w:p>
    <w:p w14:paraId="3FEDA3E1" w14:textId="77777777" w:rsidR="005C0983" w:rsidRDefault="005C0983" w:rsidP="005C0983">
      <w:pPr>
        <w:spacing w:after="0"/>
        <w:rPr>
          <w:rFonts w:ascii="Calibri" w:eastAsia="Calibri" w:hAnsi="Calibri" w:cs="Calibri"/>
          <w:sz w:val="24"/>
          <w:szCs w:val="24"/>
        </w:rPr>
      </w:pPr>
      <w:r w:rsidRPr="0E558FDD">
        <w:rPr>
          <w:rFonts w:ascii="Calibri" w:eastAsia="Calibri" w:hAnsi="Calibri" w:cs="Calibri"/>
          <w:color w:val="000000" w:themeColor="text1"/>
          <w:sz w:val="24"/>
          <w:szCs w:val="24"/>
        </w:rPr>
        <w:t xml:space="preserve">This </w:t>
      </w:r>
      <w:r>
        <w:rPr>
          <w:rFonts w:ascii="Calibri" w:eastAsia="Calibri" w:hAnsi="Calibri" w:cs="Calibri"/>
          <w:color w:val="000000" w:themeColor="text1"/>
          <w:sz w:val="24"/>
          <w:szCs w:val="24"/>
        </w:rPr>
        <w:t>P</w:t>
      </w:r>
      <w:r w:rsidRPr="0E558FDD">
        <w:rPr>
          <w:rFonts w:ascii="Calibri" w:eastAsia="Calibri" w:hAnsi="Calibri" w:cs="Calibri"/>
          <w:color w:val="000000" w:themeColor="text1"/>
          <w:sz w:val="24"/>
          <w:szCs w:val="24"/>
        </w:rPr>
        <w:t xml:space="preserve">olicy confirms </w:t>
      </w:r>
      <w:r>
        <w:rPr>
          <w:rFonts w:ascii="Calibri" w:eastAsia="Calibri" w:hAnsi="Calibri" w:cs="Calibri"/>
          <w:color w:val="000000" w:themeColor="text1"/>
          <w:sz w:val="24"/>
          <w:szCs w:val="24"/>
        </w:rPr>
        <w:t>the Company’s commitment to preventing money laundering and financing terrorism in its business practices and transactions. Money laundering is the process of disguising the financial proceeds of crime to conceal their illegal origin. The financing of terrorism is any financial support to those who attempt to encourage, plan,</w:t>
      </w:r>
      <w:r w:rsidRPr="0E558FDD">
        <w:rPr>
          <w:rFonts w:ascii="Calibri" w:eastAsia="Calibri" w:hAnsi="Calibri" w:cs="Calibri"/>
          <w:sz w:val="24"/>
          <w:szCs w:val="24"/>
        </w:rPr>
        <w:t xml:space="preserve"> or engage in terrorism.</w:t>
      </w:r>
      <w:r>
        <w:rPr>
          <w:rFonts w:ascii="Calibri" w:eastAsia="Calibri" w:hAnsi="Calibri" w:cs="Calibri"/>
          <w:sz w:val="24"/>
          <w:szCs w:val="24"/>
        </w:rPr>
        <w:t xml:space="preserve"> </w:t>
      </w:r>
    </w:p>
    <w:p w14:paraId="1AB4BC84" w14:textId="77777777" w:rsidR="005C0983" w:rsidRDefault="005C0983" w:rsidP="005C0983">
      <w:pPr>
        <w:spacing w:after="0"/>
        <w:rPr>
          <w:rFonts w:ascii="Calibri" w:eastAsia="Calibri" w:hAnsi="Calibri" w:cs="Calibri"/>
          <w:color w:val="000000" w:themeColor="text1"/>
          <w:sz w:val="24"/>
          <w:szCs w:val="24"/>
        </w:rPr>
      </w:pPr>
    </w:p>
    <w:p w14:paraId="22B0DC43" w14:textId="77777777" w:rsidR="005C0983" w:rsidRDefault="005C0983" w:rsidP="005C0983">
      <w:pPr>
        <w:spacing w:after="0"/>
        <w:rPr>
          <w:rFonts w:ascii="Calibri" w:eastAsia="Calibri" w:hAnsi="Calibri" w:cs="Calibri"/>
          <w:color w:val="000000" w:themeColor="text1"/>
          <w:sz w:val="24"/>
          <w:szCs w:val="24"/>
        </w:rPr>
      </w:pPr>
    </w:p>
    <w:p w14:paraId="75FEB4AD" w14:textId="77777777" w:rsidR="005C0983" w:rsidRDefault="005C0983" w:rsidP="005C0983">
      <w:pPr>
        <w:spacing w:after="0"/>
        <w:rPr>
          <w:rFonts w:ascii="Calibri" w:eastAsia="Calibri" w:hAnsi="Calibri" w:cs="Calibri"/>
          <w:color w:val="000000" w:themeColor="text1"/>
          <w:sz w:val="24"/>
          <w:szCs w:val="24"/>
        </w:rPr>
      </w:pPr>
      <w:r>
        <w:rPr>
          <w:rFonts w:ascii="Calibri" w:eastAsia="Calibri" w:hAnsi="Calibri" w:cs="Calibri"/>
          <w:color w:val="000000" w:themeColor="text1"/>
          <w:sz w:val="24"/>
          <w:szCs w:val="24"/>
        </w:rPr>
        <w:t>Company has established Know Your Counterparty (KYC) procedures to combat money laundering and the financing of terrorism. These procedures allow us to identify every organization that we deal with, understand the legitimacy of our business relationships, and</w:t>
      </w:r>
      <w:r w:rsidRPr="6A49525D">
        <w:rPr>
          <w:rFonts w:ascii="Calibri" w:eastAsia="Calibri" w:hAnsi="Calibri" w:cs="Calibri"/>
          <w:color w:val="000000" w:themeColor="text1"/>
          <w:sz w:val="24"/>
          <w:szCs w:val="24"/>
        </w:rPr>
        <w:t xml:space="preserve"> identify and react to unusual or suspicious activity. </w:t>
      </w:r>
    </w:p>
    <w:p w14:paraId="476655D8" w14:textId="77777777" w:rsidR="005C0983" w:rsidRDefault="005C0983" w:rsidP="005C0983">
      <w:pPr>
        <w:spacing w:after="0"/>
        <w:rPr>
          <w:rFonts w:ascii="Calibri" w:eastAsia="Calibri" w:hAnsi="Calibri" w:cs="Calibri"/>
          <w:color w:val="000000" w:themeColor="text1"/>
          <w:sz w:val="24"/>
          <w:szCs w:val="24"/>
        </w:rPr>
      </w:pPr>
    </w:p>
    <w:p w14:paraId="3BF82931" w14:textId="77777777" w:rsidR="005C0983" w:rsidRDefault="005C0983" w:rsidP="005C0983">
      <w:pPr>
        <w:spacing w:after="0"/>
        <w:rPr>
          <w:rStyle w:val="eop"/>
          <w:rFonts w:ascii="Calibri" w:eastAsia="Calibri" w:hAnsi="Calibri" w:cs="Calibri"/>
          <w:i/>
          <w:iCs/>
          <w:color w:val="0070C0"/>
          <w:sz w:val="24"/>
          <w:szCs w:val="24"/>
        </w:rPr>
      </w:pPr>
    </w:p>
    <w:p w14:paraId="3A5121F4" w14:textId="77777777" w:rsidR="005C0983" w:rsidRDefault="005C0983" w:rsidP="005C0983">
      <w:pPr>
        <w:spacing w:after="0"/>
        <w:rPr>
          <w:rFonts w:ascii="Calibri" w:eastAsia="Calibri" w:hAnsi="Calibri" w:cs="Calibri"/>
          <w:color w:val="000000" w:themeColor="text1"/>
          <w:sz w:val="24"/>
          <w:szCs w:val="24"/>
        </w:rPr>
      </w:pPr>
      <w:r>
        <w:rPr>
          <w:rFonts w:ascii="Calibri" w:eastAsia="Calibri" w:hAnsi="Calibri" w:cs="Calibri"/>
          <w:color w:val="000000" w:themeColor="text1"/>
          <w:sz w:val="24"/>
          <w:szCs w:val="24"/>
        </w:rPr>
        <w:t>Our</w:t>
      </w:r>
      <w:r w:rsidRPr="00E2195D">
        <w:t xml:space="preserve"> </w:t>
      </w:r>
      <w:r w:rsidRPr="00E2195D">
        <w:rPr>
          <w:rFonts w:ascii="Calibri" w:eastAsia="Calibri" w:hAnsi="Calibri" w:cs="Calibri"/>
          <w:color w:val="000000" w:themeColor="text1"/>
          <w:sz w:val="24"/>
          <w:szCs w:val="24"/>
        </w:rPr>
        <w:t>Compliance Officer</w:t>
      </w:r>
      <w:r>
        <w:rPr>
          <w:rFonts w:ascii="Calibri" w:eastAsia="Calibri" w:hAnsi="Calibri" w:cs="Calibri"/>
          <w:color w:val="000000" w:themeColor="text1"/>
          <w:sz w:val="24"/>
          <w:szCs w:val="24"/>
        </w:rPr>
        <w:t xml:space="preserve"> </w:t>
      </w:r>
      <w:r w:rsidRPr="2B012D7F">
        <w:rPr>
          <w:rFonts w:ascii="Calibri" w:eastAsia="Calibri" w:hAnsi="Calibri" w:cs="Calibri"/>
          <w:color w:val="000000" w:themeColor="text1"/>
          <w:sz w:val="24"/>
          <w:szCs w:val="24"/>
        </w:rPr>
        <w:t>is responsible for develop</w:t>
      </w:r>
      <w:r>
        <w:rPr>
          <w:rFonts w:ascii="Calibri" w:eastAsia="Calibri" w:hAnsi="Calibri" w:cs="Calibri"/>
          <w:color w:val="000000" w:themeColor="text1"/>
          <w:sz w:val="24"/>
          <w:szCs w:val="24"/>
        </w:rPr>
        <w:t>ing and implementing this policy and relevant procedures. The company commits to reviewing its</w:t>
      </w:r>
      <w:r w:rsidRPr="2B012D7F">
        <w:rPr>
          <w:rFonts w:ascii="Calibri" w:eastAsia="Calibri" w:hAnsi="Calibri" w:cs="Calibri"/>
          <w:color w:val="000000" w:themeColor="text1"/>
          <w:sz w:val="24"/>
          <w:szCs w:val="24"/>
        </w:rPr>
        <w:t xml:space="preserve"> KYC policy and procedure every year.</w:t>
      </w:r>
    </w:p>
    <w:p w14:paraId="55906FB9" w14:textId="77777777" w:rsidR="005C0983" w:rsidRDefault="005C0983" w:rsidP="005C0983">
      <w:pPr>
        <w:spacing w:after="0"/>
        <w:rPr>
          <w:rFonts w:ascii="Calibri" w:eastAsia="Calibri" w:hAnsi="Calibri" w:cs="Calibri"/>
          <w:color w:val="000000" w:themeColor="text1"/>
          <w:sz w:val="24"/>
          <w:szCs w:val="24"/>
        </w:rPr>
      </w:pPr>
    </w:p>
    <w:p w14:paraId="211ADD22" w14:textId="77777777" w:rsidR="005C0983" w:rsidRDefault="005C0983" w:rsidP="005C0983">
      <w:pPr>
        <w:spacing w:after="0"/>
        <w:rPr>
          <w:rFonts w:ascii="Calibri" w:eastAsia="Calibri" w:hAnsi="Calibri" w:cs="Calibri"/>
          <w:color w:val="000000" w:themeColor="text1"/>
          <w:sz w:val="24"/>
          <w:szCs w:val="24"/>
        </w:rPr>
      </w:pPr>
    </w:p>
    <w:p w14:paraId="1EA21B6C" w14:textId="77777777" w:rsidR="005C0983" w:rsidRDefault="005C0983" w:rsidP="005C0983">
      <w:pPr>
        <w:spacing w:after="0"/>
        <w:rPr>
          <w:rFonts w:ascii="Calibri" w:eastAsia="Calibri" w:hAnsi="Calibri" w:cs="Calibri"/>
          <w:color w:val="000000" w:themeColor="text1"/>
          <w:sz w:val="24"/>
          <w:szCs w:val="24"/>
        </w:rPr>
      </w:pPr>
      <w:r w:rsidRPr="6A49525D">
        <w:rPr>
          <w:rFonts w:ascii="Calibri" w:eastAsia="Calibri" w:hAnsi="Calibri" w:cs="Calibri"/>
          <w:color w:val="000000" w:themeColor="text1"/>
          <w:sz w:val="24"/>
          <w:szCs w:val="24"/>
        </w:rPr>
        <w:t xml:space="preserve">To support our KYC policy and procedures, </w:t>
      </w:r>
      <w:r>
        <w:rPr>
          <w:rFonts w:ascii="Calibri" w:eastAsia="Calibri" w:hAnsi="Calibri" w:cs="Calibri"/>
          <w:color w:val="000000" w:themeColor="text1"/>
          <w:sz w:val="24"/>
          <w:szCs w:val="24"/>
        </w:rPr>
        <w:t xml:space="preserve">the Company has developed a KYC Application form that we send to our counterparties to collect relevant business information and identify risks of money laundering. </w:t>
      </w:r>
      <w:r w:rsidRPr="6A49525D">
        <w:rPr>
          <w:rFonts w:ascii="Calibri" w:eastAsia="Calibri" w:hAnsi="Calibri" w:cs="Calibri"/>
          <w:color w:val="000000" w:themeColor="text1"/>
          <w:sz w:val="24"/>
          <w:szCs w:val="24"/>
        </w:rPr>
        <w:t>We require</w:t>
      </w:r>
      <w:r>
        <w:rPr>
          <w:rFonts w:ascii="Calibri" w:eastAsia="Calibri" w:hAnsi="Calibri" w:cs="Calibri"/>
          <w:color w:val="000000" w:themeColor="text1"/>
          <w:sz w:val="24"/>
          <w:szCs w:val="24"/>
        </w:rPr>
        <w:t xml:space="preserve"> </w:t>
      </w:r>
      <w:r w:rsidRPr="6A49525D">
        <w:rPr>
          <w:rFonts w:ascii="Calibri" w:eastAsia="Calibri" w:hAnsi="Calibri" w:cs="Calibri"/>
          <w:color w:val="000000" w:themeColor="text1"/>
          <w:sz w:val="24"/>
          <w:szCs w:val="24"/>
        </w:rPr>
        <w:t>the form to be completed for all existing and new counterparties.</w:t>
      </w:r>
    </w:p>
    <w:p w14:paraId="4C02CF4E" w14:textId="77777777" w:rsidR="005C0983" w:rsidRDefault="005C0983" w:rsidP="005C0983">
      <w:pPr>
        <w:spacing w:after="0"/>
        <w:rPr>
          <w:rFonts w:ascii="Calibri" w:eastAsia="Calibri" w:hAnsi="Calibri" w:cs="Calibri"/>
          <w:color w:val="000000" w:themeColor="text1"/>
          <w:sz w:val="24"/>
          <w:szCs w:val="24"/>
        </w:rPr>
      </w:pPr>
    </w:p>
    <w:p w14:paraId="22D7D1B5" w14:textId="77777777" w:rsidR="005C0983" w:rsidRPr="00E2195D" w:rsidRDefault="005C0983" w:rsidP="005C0983">
      <w:pPr>
        <w:spacing w:after="0"/>
        <w:rPr>
          <w:rStyle w:val="eop"/>
          <w:rFonts w:ascii="Calibri" w:eastAsia="Calibri" w:hAnsi="Calibri" w:cs="Calibri"/>
          <w:color w:val="A17B36"/>
          <w:sz w:val="24"/>
          <w:szCs w:val="24"/>
        </w:rPr>
      </w:pPr>
    </w:p>
    <w:p w14:paraId="4C94D595" w14:textId="77777777" w:rsidR="005C0983" w:rsidRDefault="005C0983" w:rsidP="005C0983">
      <w:pPr>
        <w:spacing w:after="0"/>
        <w:rPr>
          <w:rFonts w:ascii="Calibri" w:eastAsia="Calibri" w:hAnsi="Calibri" w:cs="Calibri"/>
          <w:color w:val="000000" w:themeColor="text1"/>
          <w:sz w:val="24"/>
          <w:szCs w:val="24"/>
        </w:rPr>
      </w:pPr>
      <w:r w:rsidRPr="6A49525D">
        <w:rPr>
          <w:rFonts w:ascii="Calibri" w:eastAsia="Calibri" w:hAnsi="Calibri" w:cs="Calibri"/>
          <w:color w:val="000000" w:themeColor="text1"/>
          <w:sz w:val="24"/>
          <w:szCs w:val="24"/>
        </w:rPr>
        <w:t xml:space="preserve">By collecting and reviewing the information in completed KYC </w:t>
      </w:r>
      <w:r>
        <w:rPr>
          <w:rFonts w:ascii="Calibri" w:eastAsia="Calibri" w:hAnsi="Calibri" w:cs="Calibri"/>
          <w:color w:val="000000" w:themeColor="text1"/>
          <w:sz w:val="24"/>
          <w:szCs w:val="24"/>
        </w:rPr>
        <w:t xml:space="preserve">application </w:t>
      </w:r>
      <w:r w:rsidRPr="6A49525D">
        <w:rPr>
          <w:rFonts w:ascii="Calibri" w:eastAsia="Calibri" w:hAnsi="Calibri" w:cs="Calibri"/>
          <w:color w:val="000000" w:themeColor="text1"/>
          <w:sz w:val="24"/>
          <w:szCs w:val="24"/>
        </w:rPr>
        <w:t xml:space="preserve">forms, </w:t>
      </w:r>
      <w:r>
        <w:rPr>
          <w:rFonts w:ascii="Calibri" w:eastAsia="Calibri" w:hAnsi="Calibri" w:cs="Calibri"/>
          <w:color w:val="000000" w:themeColor="text1"/>
          <w:sz w:val="24"/>
          <w:szCs w:val="24"/>
        </w:rPr>
        <w:t>the Company</w:t>
      </w:r>
      <w:r w:rsidRPr="6A49525D">
        <w:rPr>
          <w:rFonts w:ascii="Calibri" w:eastAsia="Calibri" w:hAnsi="Calibri" w:cs="Calibri"/>
          <w:color w:val="000000" w:themeColor="text1"/>
          <w:sz w:val="24"/>
          <w:szCs w:val="24"/>
        </w:rPr>
        <w:t xml:space="preserve"> commits to </w:t>
      </w:r>
    </w:p>
    <w:p w14:paraId="04D2A440" w14:textId="77777777" w:rsidR="005C0983" w:rsidRDefault="005C0983" w:rsidP="005C0983">
      <w:pPr>
        <w:pStyle w:val="ListParagraph"/>
        <w:numPr>
          <w:ilvl w:val="0"/>
          <w:numId w:val="1"/>
        </w:numPr>
        <w:spacing w:after="0"/>
        <w:rPr>
          <w:rFonts w:eastAsiaTheme="minorEastAsia"/>
          <w:color w:val="000000" w:themeColor="text1"/>
          <w:sz w:val="24"/>
          <w:szCs w:val="24"/>
        </w:rPr>
      </w:pPr>
      <w:r w:rsidRPr="6A49525D">
        <w:rPr>
          <w:rFonts w:ascii="Calibri" w:eastAsia="Calibri" w:hAnsi="Calibri" w:cs="Calibri"/>
          <w:color w:val="000000" w:themeColor="text1"/>
          <w:sz w:val="24"/>
          <w:szCs w:val="24"/>
        </w:rPr>
        <w:t>establishing the identity of our counterparties</w:t>
      </w:r>
    </w:p>
    <w:p w14:paraId="1FF3ED0A" w14:textId="77777777" w:rsidR="005C0983" w:rsidRDefault="005C0983" w:rsidP="005C0983">
      <w:pPr>
        <w:pStyle w:val="ListParagraph"/>
        <w:numPr>
          <w:ilvl w:val="0"/>
          <w:numId w:val="1"/>
        </w:numPr>
        <w:spacing w:after="0"/>
        <w:rPr>
          <w:rFonts w:eastAsiaTheme="minorEastAsia"/>
          <w:color w:val="000000" w:themeColor="text1"/>
          <w:sz w:val="24"/>
          <w:szCs w:val="24"/>
        </w:rPr>
      </w:pPr>
      <w:r w:rsidRPr="6A49525D">
        <w:rPr>
          <w:rFonts w:ascii="Calibri" w:eastAsia="Calibri" w:hAnsi="Calibri" w:cs="Calibri"/>
          <w:color w:val="000000" w:themeColor="text1"/>
          <w:sz w:val="24"/>
          <w:szCs w:val="24"/>
        </w:rPr>
        <w:t>checking that our counterparties are not considered high-risk (this means checking whether counterparties are based in FATF high-risk jurisdictions, named on government</w:t>
      </w:r>
      <w:r>
        <w:rPr>
          <w:rFonts w:ascii="Calibri" w:eastAsia="Calibri" w:hAnsi="Calibri" w:cs="Calibri"/>
          <w:color w:val="000000" w:themeColor="text1"/>
          <w:sz w:val="24"/>
          <w:szCs w:val="24"/>
        </w:rPr>
        <w:t>-</w:t>
      </w:r>
      <w:r w:rsidRPr="6A49525D">
        <w:rPr>
          <w:rFonts w:ascii="Calibri" w:eastAsia="Calibri" w:hAnsi="Calibri" w:cs="Calibri"/>
          <w:color w:val="000000" w:themeColor="text1"/>
          <w:sz w:val="24"/>
          <w:szCs w:val="24"/>
        </w:rPr>
        <w:t>sponsored watchlists or international (UN) sanctions lists, or if they source from conflict-affected and high-risk areas (CAHRAs))</w:t>
      </w:r>
    </w:p>
    <w:p w14:paraId="6BD95E8A" w14:textId="77777777" w:rsidR="005C0983" w:rsidRDefault="005C0983" w:rsidP="005C0983">
      <w:pPr>
        <w:pStyle w:val="ListParagraph"/>
        <w:numPr>
          <w:ilvl w:val="0"/>
          <w:numId w:val="1"/>
        </w:numPr>
        <w:spacing w:after="0"/>
        <w:rPr>
          <w:color w:val="000000" w:themeColor="text1"/>
          <w:sz w:val="24"/>
          <w:szCs w:val="24"/>
        </w:rPr>
      </w:pPr>
      <w:r w:rsidRPr="6A49525D">
        <w:rPr>
          <w:rFonts w:ascii="Calibri" w:eastAsia="Calibri" w:hAnsi="Calibri" w:cs="Calibri"/>
          <w:color w:val="000000" w:themeColor="text1"/>
          <w:sz w:val="24"/>
          <w:szCs w:val="24"/>
        </w:rPr>
        <w:t>maintaining an understanding of the nature and legitimacy of all our counterparties’ businesses</w:t>
      </w:r>
    </w:p>
    <w:p w14:paraId="0D0CC008" w14:textId="77777777" w:rsidR="005C0983" w:rsidRDefault="005C0983" w:rsidP="005C0983">
      <w:pPr>
        <w:pStyle w:val="ListParagraph"/>
        <w:numPr>
          <w:ilvl w:val="0"/>
          <w:numId w:val="1"/>
        </w:numPr>
        <w:rPr>
          <w:rFonts w:eastAsiaTheme="minorEastAsia"/>
          <w:color w:val="000000" w:themeColor="text1"/>
          <w:sz w:val="24"/>
          <w:szCs w:val="24"/>
        </w:rPr>
      </w:pPr>
      <w:r w:rsidRPr="6A49525D">
        <w:rPr>
          <w:rFonts w:ascii="Calibri" w:eastAsia="Calibri" w:hAnsi="Calibri" w:cs="Calibri"/>
          <w:color w:val="000000" w:themeColor="text1"/>
          <w:sz w:val="24"/>
          <w:szCs w:val="24"/>
        </w:rPr>
        <w:t xml:space="preserve">maintaining KYC records for at least five years </w:t>
      </w:r>
    </w:p>
    <w:p w14:paraId="3D2FBBF6" w14:textId="77777777" w:rsidR="005C0983" w:rsidRDefault="005C0983" w:rsidP="005C0983">
      <w:pPr>
        <w:pStyle w:val="ListParagraph"/>
        <w:numPr>
          <w:ilvl w:val="0"/>
          <w:numId w:val="1"/>
        </w:numPr>
        <w:spacing w:after="0" w:line="240" w:lineRule="auto"/>
        <w:rPr>
          <w:rFonts w:eastAsiaTheme="minorEastAsia"/>
          <w:color w:val="000000" w:themeColor="text1"/>
          <w:sz w:val="24"/>
          <w:szCs w:val="24"/>
        </w:rPr>
      </w:pPr>
      <w:r w:rsidRPr="6A49525D">
        <w:rPr>
          <w:rFonts w:ascii="Calibri" w:eastAsia="Calibri" w:hAnsi="Calibri" w:cs="Calibri"/>
          <w:color w:val="000000" w:themeColor="text1"/>
          <w:sz w:val="24"/>
          <w:szCs w:val="24"/>
        </w:rPr>
        <w:t>maintaining records of all single or linked cash (or cash-like) transactions above 10,000EUR</w:t>
      </w:r>
    </w:p>
    <w:p w14:paraId="6B4AAA06" w14:textId="77777777" w:rsidR="005C0983" w:rsidRDefault="005C0983" w:rsidP="005C0983">
      <w:pPr>
        <w:pStyle w:val="ListParagraph"/>
        <w:numPr>
          <w:ilvl w:val="0"/>
          <w:numId w:val="1"/>
        </w:numPr>
        <w:spacing w:after="0" w:line="240" w:lineRule="auto"/>
        <w:rPr>
          <w:rFonts w:eastAsiaTheme="minorEastAsia"/>
          <w:color w:val="000000" w:themeColor="text1"/>
          <w:sz w:val="24"/>
          <w:szCs w:val="24"/>
        </w:rPr>
      </w:pPr>
      <w:r w:rsidRPr="6A49525D">
        <w:rPr>
          <w:rFonts w:ascii="Calibri" w:eastAsia="Calibri" w:hAnsi="Calibri" w:cs="Calibri"/>
          <w:color w:val="000000" w:themeColor="text1"/>
          <w:sz w:val="24"/>
          <w:szCs w:val="24"/>
        </w:rPr>
        <w:t xml:space="preserve">monitoring transactions for unusual or suspicious activity – this type of activity </w:t>
      </w:r>
      <w:r>
        <w:rPr>
          <w:rFonts w:ascii="Calibri" w:eastAsia="Calibri" w:hAnsi="Calibri" w:cs="Calibri"/>
          <w:color w:val="000000" w:themeColor="text1"/>
          <w:sz w:val="24"/>
          <w:szCs w:val="24"/>
        </w:rPr>
        <w:t>shall</w:t>
      </w:r>
      <w:r w:rsidRPr="6A49525D">
        <w:rPr>
          <w:rFonts w:ascii="Calibri" w:eastAsia="Calibri" w:hAnsi="Calibri" w:cs="Calibri"/>
          <w:color w:val="000000" w:themeColor="text1"/>
          <w:sz w:val="24"/>
          <w:szCs w:val="24"/>
        </w:rPr>
        <w:t xml:space="preserve"> cause the counterparty to be considered high-risk.</w:t>
      </w:r>
    </w:p>
    <w:p w14:paraId="2A69AA55" w14:textId="77777777" w:rsidR="005C0983" w:rsidRDefault="005C0983" w:rsidP="005C0983">
      <w:pPr>
        <w:spacing w:after="0"/>
        <w:rPr>
          <w:rFonts w:ascii="Calibri" w:eastAsia="Calibri" w:hAnsi="Calibri" w:cs="Calibri"/>
          <w:color w:val="000000" w:themeColor="text1"/>
          <w:sz w:val="24"/>
          <w:szCs w:val="24"/>
        </w:rPr>
      </w:pPr>
    </w:p>
    <w:p w14:paraId="32B845FD" w14:textId="77777777" w:rsidR="005C0983" w:rsidRDefault="005C0983" w:rsidP="005C0983">
      <w:pPr>
        <w:spacing w:after="0"/>
        <w:rPr>
          <w:rFonts w:ascii="Calibri" w:eastAsia="Calibri" w:hAnsi="Calibri" w:cs="Calibri"/>
          <w:color w:val="000000" w:themeColor="text1"/>
          <w:sz w:val="24"/>
          <w:szCs w:val="24"/>
        </w:rPr>
      </w:pPr>
      <w:r>
        <w:rPr>
          <w:rFonts w:ascii="Calibri" w:eastAsia="Calibri" w:hAnsi="Calibri" w:cs="Calibri"/>
          <w:color w:val="000000" w:themeColor="text1"/>
          <w:sz w:val="24"/>
          <w:szCs w:val="24"/>
        </w:rPr>
        <w:br/>
      </w:r>
      <w:r>
        <w:rPr>
          <w:rFonts w:ascii="Calibri" w:eastAsia="Calibri" w:hAnsi="Calibri" w:cs="Calibri"/>
          <w:color w:val="000000" w:themeColor="text1"/>
          <w:sz w:val="24"/>
          <w:szCs w:val="24"/>
        </w:rPr>
        <w:br/>
      </w:r>
      <w:r>
        <w:rPr>
          <w:rFonts w:ascii="Calibri" w:eastAsia="Calibri" w:hAnsi="Calibri" w:cs="Calibri"/>
          <w:color w:val="000000" w:themeColor="text1"/>
          <w:sz w:val="24"/>
          <w:szCs w:val="24"/>
        </w:rPr>
        <w:lastRenderedPageBreak/>
        <w:br/>
      </w:r>
    </w:p>
    <w:p w14:paraId="6261BCD8" w14:textId="77777777" w:rsidR="005C0983" w:rsidRDefault="005C0983" w:rsidP="005C0983">
      <w:pPr>
        <w:spacing w:after="0"/>
        <w:rPr>
          <w:rFonts w:ascii="Calibri" w:eastAsia="Calibri" w:hAnsi="Calibri" w:cs="Calibri"/>
          <w:color w:val="000000" w:themeColor="text1"/>
          <w:sz w:val="24"/>
          <w:szCs w:val="24"/>
        </w:rPr>
      </w:pPr>
      <w:r w:rsidRPr="6A49525D">
        <w:rPr>
          <w:rFonts w:ascii="Calibri" w:eastAsia="Calibri" w:hAnsi="Calibri" w:cs="Calibri"/>
          <w:color w:val="000000" w:themeColor="text1"/>
          <w:sz w:val="24"/>
          <w:szCs w:val="24"/>
        </w:rPr>
        <w:t>If counterparties are considered high-risk for any reason (</w:t>
      </w:r>
      <w:r>
        <w:rPr>
          <w:rFonts w:ascii="Calibri" w:eastAsia="Calibri" w:hAnsi="Calibri" w:cs="Calibri"/>
          <w:color w:val="000000" w:themeColor="text1"/>
          <w:sz w:val="24"/>
          <w:szCs w:val="24"/>
        </w:rPr>
        <w:t xml:space="preserve">e.g., because of </w:t>
      </w:r>
      <w:r w:rsidRPr="6A49525D">
        <w:rPr>
          <w:rFonts w:ascii="Calibri" w:eastAsia="Calibri" w:hAnsi="Calibri" w:cs="Calibri"/>
          <w:color w:val="000000" w:themeColor="text1"/>
          <w:sz w:val="24"/>
          <w:szCs w:val="24"/>
        </w:rPr>
        <w:t xml:space="preserve"> unusual </w:t>
      </w:r>
      <w:r>
        <w:rPr>
          <w:rFonts w:ascii="Calibri" w:eastAsia="Calibri" w:hAnsi="Calibri" w:cs="Calibri"/>
          <w:color w:val="000000" w:themeColor="text1"/>
          <w:sz w:val="24"/>
          <w:szCs w:val="24"/>
        </w:rPr>
        <w:t xml:space="preserve">transaction </w:t>
      </w:r>
      <w:r w:rsidRPr="6A49525D">
        <w:rPr>
          <w:rFonts w:ascii="Calibri" w:eastAsia="Calibri" w:hAnsi="Calibri" w:cs="Calibri"/>
          <w:color w:val="000000" w:themeColor="text1"/>
          <w:sz w:val="24"/>
          <w:szCs w:val="24"/>
        </w:rPr>
        <w:t>activit</w:t>
      </w:r>
      <w:r>
        <w:rPr>
          <w:rFonts w:ascii="Calibri" w:eastAsia="Calibri" w:hAnsi="Calibri" w:cs="Calibri"/>
          <w:color w:val="000000" w:themeColor="text1"/>
          <w:sz w:val="24"/>
          <w:szCs w:val="24"/>
        </w:rPr>
        <w:t>ies</w:t>
      </w:r>
      <w:r w:rsidRPr="6A49525D">
        <w:rPr>
          <w:rFonts w:ascii="Calibri" w:eastAsia="Calibri" w:hAnsi="Calibri" w:cs="Calibri"/>
          <w:color w:val="000000" w:themeColor="text1"/>
          <w:sz w:val="24"/>
          <w:szCs w:val="24"/>
        </w:rPr>
        <w:t>)</w:t>
      </w:r>
      <w:r>
        <w:rPr>
          <w:rFonts w:ascii="Calibri" w:eastAsia="Calibri" w:hAnsi="Calibri" w:cs="Calibri"/>
          <w:color w:val="000000" w:themeColor="text1"/>
          <w:sz w:val="24"/>
          <w:szCs w:val="24"/>
        </w:rPr>
        <w:t>,</w:t>
      </w:r>
      <w:r w:rsidRPr="6A49525D">
        <w:rPr>
          <w:rFonts w:ascii="Calibri" w:eastAsia="Calibri" w:hAnsi="Calibri" w:cs="Calibri"/>
          <w:color w:val="000000" w:themeColor="text1"/>
          <w:sz w:val="24"/>
          <w:szCs w:val="24"/>
        </w:rPr>
        <w:t xml:space="preserve"> we may:</w:t>
      </w:r>
      <w:r>
        <w:rPr>
          <w:rFonts w:ascii="Calibri" w:eastAsia="Calibri" w:hAnsi="Calibri" w:cs="Calibri"/>
          <w:color w:val="000000" w:themeColor="text1"/>
          <w:sz w:val="24"/>
          <w:szCs w:val="24"/>
        </w:rPr>
        <w:br/>
      </w:r>
      <w:r>
        <w:rPr>
          <w:rFonts w:eastAsiaTheme="minorEastAsia"/>
          <w:color w:val="000000" w:themeColor="text1"/>
          <w:sz w:val="24"/>
          <w:szCs w:val="24"/>
        </w:rPr>
        <w:t xml:space="preserve">* </w:t>
      </w:r>
      <w:r w:rsidRPr="00567D09">
        <w:rPr>
          <w:rFonts w:ascii="Calibri" w:eastAsia="Calibri" w:hAnsi="Calibri" w:cs="Calibri"/>
          <w:color w:val="000000" w:themeColor="text1"/>
          <w:sz w:val="24"/>
          <w:szCs w:val="24"/>
        </w:rPr>
        <w:t xml:space="preserve">Identify the beneficial owners of the counterparty and check whether </w:t>
      </w:r>
      <w:r>
        <w:rPr>
          <w:rFonts w:ascii="Calibri" w:eastAsia="Calibri" w:hAnsi="Calibri" w:cs="Calibri"/>
          <w:color w:val="000000" w:themeColor="text1"/>
          <w:sz w:val="24"/>
          <w:szCs w:val="24"/>
        </w:rPr>
        <w:t>they</w:t>
      </w:r>
      <w:r w:rsidRPr="00567D09">
        <w:rPr>
          <w:rFonts w:ascii="Calibri" w:eastAsia="Calibri" w:hAnsi="Calibri" w:cs="Calibri"/>
          <w:color w:val="000000" w:themeColor="text1"/>
          <w:sz w:val="24"/>
          <w:szCs w:val="24"/>
        </w:rPr>
        <w:t xml:space="preserve"> are on any watchlists or sanctions list</w:t>
      </w:r>
      <w:r>
        <w:rPr>
          <w:rFonts w:ascii="Calibri" w:eastAsia="Calibri" w:hAnsi="Calibri" w:cs="Calibri"/>
          <w:color w:val="000000" w:themeColor="text1"/>
          <w:sz w:val="24"/>
          <w:szCs w:val="24"/>
        </w:rPr>
        <w:t xml:space="preserve">             </w:t>
      </w:r>
      <w:r>
        <w:rPr>
          <w:rFonts w:ascii="Calibri" w:eastAsia="Calibri" w:hAnsi="Calibri" w:cs="Calibri"/>
          <w:color w:val="000000" w:themeColor="text1"/>
          <w:sz w:val="24"/>
          <w:szCs w:val="24"/>
        </w:rPr>
        <w:br/>
        <w:t xml:space="preserve">* </w:t>
      </w:r>
      <w:r w:rsidRPr="00567D09">
        <w:rPr>
          <w:rFonts w:ascii="Calibri" w:eastAsia="Calibri" w:hAnsi="Calibri" w:cs="Calibri"/>
          <w:color w:val="000000" w:themeColor="text1"/>
          <w:sz w:val="24"/>
          <w:szCs w:val="24"/>
        </w:rPr>
        <w:t>Make an on-site visit to the high-risk counterparty</w:t>
      </w:r>
      <w:r w:rsidRPr="00567D09">
        <w:rPr>
          <w:rFonts w:ascii="Calibri" w:eastAsia="Calibri" w:hAnsi="Calibri" w:cs="Calibri"/>
          <w:color w:val="000000" w:themeColor="text1"/>
          <w:sz w:val="24"/>
          <w:szCs w:val="24"/>
        </w:rPr>
        <w:br/>
      </w:r>
      <w:r>
        <w:rPr>
          <w:rFonts w:ascii="Calibri" w:eastAsia="Calibri" w:hAnsi="Calibri" w:cs="Calibri"/>
          <w:color w:val="000000" w:themeColor="text1"/>
          <w:sz w:val="24"/>
          <w:szCs w:val="24"/>
        </w:rPr>
        <w:t xml:space="preserve">* </w:t>
      </w:r>
      <w:r w:rsidRPr="00567D09">
        <w:rPr>
          <w:rFonts w:ascii="Calibri" w:eastAsia="Calibri" w:hAnsi="Calibri" w:cs="Calibri"/>
          <w:color w:val="000000" w:themeColor="text1"/>
          <w:sz w:val="24"/>
          <w:szCs w:val="24"/>
        </w:rPr>
        <w:t>Cease trading with the counterparty</w:t>
      </w:r>
      <w:r>
        <w:rPr>
          <w:rFonts w:ascii="Calibri" w:eastAsia="Calibri" w:hAnsi="Calibri" w:cs="Calibri"/>
          <w:color w:val="000000" w:themeColor="text1"/>
          <w:sz w:val="24"/>
          <w:szCs w:val="24"/>
        </w:rPr>
        <w:br/>
        <w:t xml:space="preserve">* </w:t>
      </w:r>
      <w:r>
        <w:rPr>
          <w:rStyle w:val="eop"/>
          <w:rFonts w:ascii="Calibri" w:eastAsia="Calibri" w:hAnsi="Calibri" w:cs="Calibri"/>
          <w:sz w:val="24"/>
          <w:szCs w:val="24"/>
        </w:rPr>
        <w:t>R</w:t>
      </w:r>
      <w:r w:rsidRPr="0017653E">
        <w:rPr>
          <w:rStyle w:val="eop"/>
          <w:rFonts w:ascii="Calibri" w:eastAsia="Calibri" w:hAnsi="Calibri" w:cs="Calibri"/>
          <w:sz w:val="24"/>
          <w:szCs w:val="24"/>
        </w:rPr>
        <w:t xml:space="preserve">eport suspicious activity to the </w:t>
      </w:r>
      <w:r>
        <w:rPr>
          <w:rStyle w:val="eop"/>
          <w:rFonts w:ascii="Calibri" w:eastAsia="Calibri" w:hAnsi="Calibri" w:cs="Calibri"/>
          <w:sz w:val="24"/>
          <w:szCs w:val="24"/>
        </w:rPr>
        <w:t>applicable</w:t>
      </w:r>
      <w:r w:rsidRPr="0017653E">
        <w:rPr>
          <w:rStyle w:val="eop"/>
          <w:rFonts w:ascii="Calibri" w:eastAsia="Calibri" w:hAnsi="Calibri" w:cs="Calibri"/>
          <w:sz w:val="24"/>
          <w:szCs w:val="24"/>
        </w:rPr>
        <w:t xml:space="preserve"> designated authority</w:t>
      </w:r>
      <w:r>
        <w:rPr>
          <w:rStyle w:val="eop"/>
          <w:rFonts w:ascii="Calibri" w:eastAsia="Calibri" w:hAnsi="Calibri" w:cs="Calibri"/>
          <w:sz w:val="24"/>
          <w:szCs w:val="24"/>
        </w:rPr>
        <w:t xml:space="preserve"> (after appropriate internal and external legal consultation)</w:t>
      </w:r>
      <w:r>
        <w:rPr>
          <w:rStyle w:val="eop"/>
          <w:rFonts w:ascii="Calibri" w:eastAsia="Calibri" w:hAnsi="Calibri" w:cs="Calibri"/>
          <w:sz w:val="24"/>
          <w:szCs w:val="24"/>
        </w:rPr>
        <w:br/>
      </w:r>
      <w:r>
        <w:rPr>
          <w:rFonts w:ascii="Calibri" w:eastAsia="Calibri" w:hAnsi="Calibri" w:cs="Calibri"/>
          <w:color w:val="000000" w:themeColor="text1"/>
          <w:sz w:val="24"/>
          <w:szCs w:val="24"/>
        </w:rPr>
        <w:br/>
      </w:r>
      <w:r>
        <w:rPr>
          <w:rFonts w:ascii="Calibri" w:eastAsia="Calibri" w:hAnsi="Calibri" w:cs="Calibri"/>
          <w:color w:val="000000" w:themeColor="text1"/>
          <w:sz w:val="24"/>
          <w:szCs w:val="24"/>
        </w:rPr>
        <w:br/>
        <w:t xml:space="preserve">The company recognizes the importance of training as the key element in fighting money laundering; hence, Company employees shall receive annual training on KYC and AML. </w:t>
      </w:r>
      <w:r>
        <w:rPr>
          <w:rFonts w:ascii="Calibri" w:eastAsia="Calibri" w:hAnsi="Calibri" w:cs="Calibri"/>
          <w:color w:val="000000" w:themeColor="text1"/>
          <w:sz w:val="24"/>
          <w:szCs w:val="24"/>
        </w:rPr>
        <w:br/>
      </w:r>
      <w:r>
        <w:rPr>
          <w:rFonts w:ascii="Calibri" w:eastAsia="Calibri" w:hAnsi="Calibri" w:cs="Calibri"/>
          <w:color w:val="000000" w:themeColor="text1"/>
          <w:sz w:val="24"/>
          <w:szCs w:val="24"/>
        </w:rPr>
        <w:br/>
      </w:r>
    </w:p>
    <w:p w14:paraId="5A96A4AD" w14:textId="77777777" w:rsidR="005C0983" w:rsidRDefault="005C0983" w:rsidP="005C0983">
      <w:r>
        <w:t>Yours Sincerely,</w:t>
      </w:r>
    </w:p>
    <w:p w14:paraId="60386480" w14:textId="77777777" w:rsidR="005C0983" w:rsidRDefault="005C0983" w:rsidP="005C0983">
      <w:pPr>
        <w:spacing w:after="0"/>
        <w:rPr>
          <w:rFonts w:ascii="Calibri" w:eastAsia="Calibri" w:hAnsi="Calibri" w:cs="Calibri"/>
          <w:color w:val="000000" w:themeColor="text1"/>
          <w:sz w:val="24"/>
          <w:szCs w:val="24"/>
        </w:rPr>
      </w:pPr>
      <w:r w:rsidRPr="00F77498">
        <w:t xml:space="preserve">Sako </w:t>
      </w:r>
      <w:proofErr w:type="spellStart"/>
      <w:r w:rsidRPr="00F77498">
        <w:t>Bad</w:t>
      </w:r>
      <w:r>
        <w:t>e</w:t>
      </w:r>
      <w:r w:rsidRPr="00F77498">
        <w:t>rian</w:t>
      </w:r>
      <w:proofErr w:type="spellEnd"/>
      <w:r>
        <w:br/>
      </w:r>
      <w:r w:rsidRPr="00F77498">
        <w:rPr>
          <w:sz w:val="20"/>
          <w:szCs w:val="20"/>
        </w:rPr>
        <w:t xml:space="preserve">Senior </w:t>
      </w:r>
      <w:r>
        <w:rPr>
          <w:sz w:val="20"/>
          <w:szCs w:val="20"/>
        </w:rPr>
        <w:t>M</w:t>
      </w:r>
      <w:r w:rsidRPr="00F77498">
        <w:rPr>
          <w:sz w:val="20"/>
          <w:szCs w:val="20"/>
        </w:rPr>
        <w:t xml:space="preserve">anager of Policy </w:t>
      </w:r>
      <w:r>
        <w:rPr>
          <w:sz w:val="20"/>
          <w:szCs w:val="20"/>
        </w:rPr>
        <w:t>I</w:t>
      </w:r>
      <w:r w:rsidRPr="00F77498">
        <w:rPr>
          <w:sz w:val="20"/>
          <w:szCs w:val="20"/>
        </w:rPr>
        <w:t>mplementation</w:t>
      </w:r>
    </w:p>
    <w:p w14:paraId="6E7472AA" w14:textId="77777777" w:rsidR="005C0983" w:rsidRDefault="005C0983" w:rsidP="005C0983">
      <w:pPr>
        <w:spacing w:after="0"/>
      </w:pPr>
    </w:p>
    <w:p w14:paraId="045FE0BE" w14:textId="77777777" w:rsidR="005C0983" w:rsidRDefault="005C0983" w:rsidP="005C0983">
      <w:pPr>
        <w:shd w:val="clear" w:color="auto" w:fill="FFFFFF"/>
        <w:spacing w:after="0"/>
        <w:textAlignment w:val="baseline"/>
      </w:pPr>
      <w:r>
        <w:br/>
        <w:t xml:space="preserve">   </w:t>
      </w:r>
    </w:p>
    <w:p w14:paraId="6D3D8B99" w14:textId="77777777" w:rsidR="005C0983" w:rsidRPr="00537532" w:rsidRDefault="005C0983" w:rsidP="005C0983">
      <w:pPr>
        <w:shd w:val="clear" w:color="auto" w:fill="FFFFFF"/>
        <w:spacing w:after="0"/>
        <w:textAlignment w:val="baseline"/>
        <w:rPr>
          <w:rFonts w:cstheme="minorHAnsi"/>
        </w:rPr>
      </w:pPr>
    </w:p>
    <w:p w14:paraId="6D215DB9" w14:textId="77777777" w:rsidR="00E87A1C" w:rsidRDefault="00E87A1C"/>
    <w:sectPr w:rsidR="00E87A1C" w:rsidSect="00E46D4C">
      <w:headerReference w:type="default" r:id="rId7"/>
      <w:pgSz w:w="11906" w:h="16838"/>
      <w:pgMar w:top="1440" w:right="1797" w:bottom="1440" w:left="1797" w:header="709"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0C55E2" w14:textId="77777777" w:rsidR="005C0983" w:rsidRDefault="005C0983" w:rsidP="005C0983">
      <w:pPr>
        <w:spacing w:after="0"/>
      </w:pPr>
      <w:r>
        <w:separator/>
      </w:r>
    </w:p>
  </w:endnote>
  <w:endnote w:type="continuationSeparator" w:id="0">
    <w:p w14:paraId="604AC3AC" w14:textId="77777777" w:rsidR="005C0983" w:rsidRDefault="005C0983" w:rsidP="005C098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16F77C" w14:textId="77777777" w:rsidR="005C0983" w:rsidRDefault="005C0983" w:rsidP="005C0983">
      <w:pPr>
        <w:spacing w:after="0"/>
      </w:pPr>
      <w:r>
        <w:separator/>
      </w:r>
    </w:p>
  </w:footnote>
  <w:footnote w:type="continuationSeparator" w:id="0">
    <w:p w14:paraId="4198EEEC" w14:textId="77777777" w:rsidR="005C0983" w:rsidRDefault="005C0983" w:rsidP="005C0983">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235372" w14:textId="77777777" w:rsidR="005C0983" w:rsidRPr="00291A4A" w:rsidRDefault="005C0983">
    <w:pPr>
      <w:pStyle w:val="Header"/>
      <w:rPr>
        <w:sz w:val="26"/>
        <w:szCs w:val="26"/>
      </w:rPr>
    </w:pPr>
    <w:r w:rsidRPr="00291A4A">
      <w:rPr>
        <w:sz w:val="26"/>
        <w:szCs w:val="26"/>
      </w:rPr>
      <w:t>Coloron Jewelry Inc / A&amp;I Inc</w:t>
    </w:r>
    <w:r>
      <w:rPr>
        <w:sz w:val="26"/>
        <w:szCs w:val="26"/>
      </w:rPr>
      <w:t xml:space="preserve">    </w:t>
    </w:r>
  </w:p>
  <w:p w14:paraId="4344E10E" w14:textId="77777777" w:rsidR="005C0983" w:rsidRPr="005B4FDC" w:rsidRDefault="005C0983">
    <w:pPr>
      <w:pStyle w:val="Header"/>
      <w:rPr>
        <w:color w:val="595959" w:themeColor="text1" w:themeTint="A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3380C50"/>
    <w:multiLevelType w:val="hybridMultilevel"/>
    <w:tmpl w:val="2024703C"/>
    <w:lvl w:ilvl="0" w:tplc="4B242B34">
      <w:start w:val="1"/>
      <w:numFmt w:val="bullet"/>
      <w:lvlText w:val=""/>
      <w:lvlJc w:val="left"/>
      <w:pPr>
        <w:ind w:left="720" w:hanging="360"/>
      </w:pPr>
      <w:rPr>
        <w:rFonts w:ascii="Symbol" w:hAnsi="Symbol" w:hint="default"/>
      </w:rPr>
    </w:lvl>
    <w:lvl w:ilvl="1" w:tplc="BDAE5D86">
      <w:start w:val="1"/>
      <w:numFmt w:val="bullet"/>
      <w:lvlText w:val="o"/>
      <w:lvlJc w:val="left"/>
      <w:pPr>
        <w:ind w:left="1440" w:hanging="360"/>
      </w:pPr>
      <w:rPr>
        <w:rFonts w:ascii="Courier New" w:hAnsi="Courier New" w:hint="default"/>
      </w:rPr>
    </w:lvl>
    <w:lvl w:ilvl="2" w:tplc="50AE9F0E">
      <w:start w:val="1"/>
      <w:numFmt w:val="bullet"/>
      <w:lvlText w:val=""/>
      <w:lvlJc w:val="left"/>
      <w:pPr>
        <w:ind w:left="2160" w:hanging="360"/>
      </w:pPr>
      <w:rPr>
        <w:rFonts w:ascii="Wingdings" w:hAnsi="Wingdings" w:hint="default"/>
      </w:rPr>
    </w:lvl>
    <w:lvl w:ilvl="3" w:tplc="619E7618">
      <w:start w:val="1"/>
      <w:numFmt w:val="bullet"/>
      <w:lvlText w:val=""/>
      <w:lvlJc w:val="left"/>
      <w:pPr>
        <w:ind w:left="2880" w:hanging="360"/>
      </w:pPr>
      <w:rPr>
        <w:rFonts w:ascii="Symbol" w:hAnsi="Symbol" w:hint="default"/>
      </w:rPr>
    </w:lvl>
    <w:lvl w:ilvl="4" w:tplc="15C44948">
      <w:start w:val="1"/>
      <w:numFmt w:val="bullet"/>
      <w:lvlText w:val="o"/>
      <w:lvlJc w:val="left"/>
      <w:pPr>
        <w:ind w:left="3600" w:hanging="360"/>
      </w:pPr>
      <w:rPr>
        <w:rFonts w:ascii="Courier New" w:hAnsi="Courier New" w:hint="default"/>
      </w:rPr>
    </w:lvl>
    <w:lvl w:ilvl="5" w:tplc="ACD4C622">
      <w:start w:val="1"/>
      <w:numFmt w:val="bullet"/>
      <w:lvlText w:val=""/>
      <w:lvlJc w:val="left"/>
      <w:pPr>
        <w:ind w:left="4320" w:hanging="360"/>
      </w:pPr>
      <w:rPr>
        <w:rFonts w:ascii="Wingdings" w:hAnsi="Wingdings" w:hint="default"/>
      </w:rPr>
    </w:lvl>
    <w:lvl w:ilvl="6" w:tplc="8C8C3A90">
      <w:start w:val="1"/>
      <w:numFmt w:val="bullet"/>
      <w:lvlText w:val=""/>
      <w:lvlJc w:val="left"/>
      <w:pPr>
        <w:ind w:left="5040" w:hanging="360"/>
      </w:pPr>
      <w:rPr>
        <w:rFonts w:ascii="Symbol" w:hAnsi="Symbol" w:hint="default"/>
      </w:rPr>
    </w:lvl>
    <w:lvl w:ilvl="7" w:tplc="1A66311E">
      <w:start w:val="1"/>
      <w:numFmt w:val="bullet"/>
      <w:lvlText w:val="o"/>
      <w:lvlJc w:val="left"/>
      <w:pPr>
        <w:ind w:left="5760" w:hanging="360"/>
      </w:pPr>
      <w:rPr>
        <w:rFonts w:ascii="Courier New" w:hAnsi="Courier New" w:hint="default"/>
      </w:rPr>
    </w:lvl>
    <w:lvl w:ilvl="8" w:tplc="CEE0F672">
      <w:start w:val="1"/>
      <w:numFmt w:val="bullet"/>
      <w:lvlText w:val=""/>
      <w:lvlJc w:val="left"/>
      <w:pPr>
        <w:ind w:left="6480" w:hanging="360"/>
      </w:pPr>
      <w:rPr>
        <w:rFonts w:ascii="Wingdings" w:hAnsi="Wingdings" w:hint="default"/>
      </w:rPr>
    </w:lvl>
  </w:abstractNum>
  <w:num w:numId="1" w16cid:durableId="7033640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983"/>
    <w:rsid w:val="001069E2"/>
    <w:rsid w:val="001F0D83"/>
    <w:rsid w:val="00361925"/>
    <w:rsid w:val="005C0983"/>
    <w:rsid w:val="005F064F"/>
    <w:rsid w:val="006252D2"/>
    <w:rsid w:val="00E87A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4F9A0C"/>
  <w15:chartTrackingRefBased/>
  <w15:docId w15:val="{EF029555-668C-3147-818C-1FBD78026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0983"/>
    <w:pPr>
      <w:spacing w:after="80"/>
    </w:pPr>
    <w:rPr>
      <w:kern w:val="0"/>
      <w:sz w:val="22"/>
      <w:szCs w:val="22"/>
      <w:lang w:bidi="he-IL"/>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0983"/>
    <w:pPr>
      <w:tabs>
        <w:tab w:val="center" w:pos="4513"/>
        <w:tab w:val="right" w:pos="9026"/>
      </w:tabs>
      <w:bidi/>
      <w:spacing w:after="0"/>
      <w:jc w:val="right"/>
    </w:pPr>
  </w:style>
  <w:style w:type="character" w:customStyle="1" w:styleId="HeaderChar">
    <w:name w:val="Header Char"/>
    <w:basedOn w:val="DefaultParagraphFont"/>
    <w:link w:val="Header"/>
    <w:uiPriority w:val="99"/>
    <w:rsid w:val="005C0983"/>
    <w:rPr>
      <w:kern w:val="0"/>
      <w:sz w:val="22"/>
      <w:szCs w:val="22"/>
      <w:lang w:bidi="he-IL"/>
      <w14:ligatures w14:val="none"/>
    </w:rPr>
  </w:style>
  <w:style w:type="paragraph" w:styleId="ListParagraph">
    <w:name w:val="List Paragraph"/>
    <w:basedOn w:val="Normal"/>
    <w:uiPriority w:val="34"/>
    <w:qFormat/>
    <w:rsid w:val="005C0983"/>
    <w:pPr>
      <w:spacing w:after="160" w:line="259" w:lineRule="auto"/>
      <w:ind w:left="720"/>
      <w:contextualSpacing/>
    </w:pPr>
    <w:rPr>
      <w:lang w:val="en-GB" w:bidi="ar-SA"/>
    </w:rPr>
  </w:style>
  <w:style w:type="character" w:customStyle="1" w:styleId="eop">
    <w:name w:val="eop"/>
    <w:basedOn w:val="DefaultParagraphFont"/>
    <w:rsid w:val="005C0983"/>
  </w:style>
  <w:style w:type="paragraph" w:styleId="Footer">
    <w:name w:val="footer"/>
    <w:basedOn w:val="Normal"/>
    <w:link w:val="FooterChar"/>
    <w:uiPriority w:val="99"/>
    <w:unhideWhenUsed/>
    <w:rsid w:val="005C0983"/>
    <w:pPr>
      <w:tabs>
        <w:tab w:val="center" w:pos="4680"/>
        <w:tab w:val="right" w:pos="9360"/>
      </w:tabs>
      <w:spacing w:after="0"/>
    </w:pPr>
  </w:style>
  <w:style w:type="character" w:customStyle="1" w:styleId="FooterChar">
    <w:name w:val="Footer Char"/>
    <w:basedOn w:val="DefaultParagraphFont"/>
    <w:link w:val="Footer"/>
    <w:uiPriority w:val="99"/>
    <w:rsid w:val="005C0983"/>
    <w:rPr>
      <w:kern w:val="0"/>
      <w:sz w:val="22"/>
      <w:szCs w:val="22"/>
      <w:lang w:bidi="he-I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435</Words>
  <Characters>2480</Characters>
  <Application>Microsoft Office Word</Application>
  <DocSecurity>0</DocSecurity>
  <Lines>20</Lines>
  <Paragraphs>5</Paragraphs>
  <ScaleCrop>false</ScaleCrop>
  <Company/>
  <LinksUpToDate>false</LinksUpToDate>
  <CharactersWithSpaces>2910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Christian Garcia</cp:lastModifiedBy>
  <cp:revision>2</cp:revision>
  <dcterms:created xsi:type="dcterms:W3CDTF">2024-10-01T18:02:00Z</dcterms:created>
  <dcterms:modified xsi:type="dcterms:W3CDTF">2024-10-01T18:02:00Z</dcterms:modified>
</cp:coreProperties>
</file>